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28D2" w14:textId="11E5D607" w:rsidR="004248E9" w:rsidRDefault="00873457" w:rsidP="004248E9">
      <w:pPr>
        <w:spacing w:after="0" w:line="259" w:lineRule="auto"/>
        <w:ind w:left="0" w:firstLine="0"/>
        <w:jc w:val="center"/>
        <w:rPr>
          <w:b/>
          <w:szCs w:val="28"/>
        </w:rPr>
      </w:pPr>
      <w:r>
        <w:rPr>
          <w:b/>
          <w:szCs w:val="28"/>
        </w:rPr>
        <w:t>“Мисли йўқ 200% Cashback”</w:t>
      </w:r>
      <w:r w:rsidR="004248E9">
        <w:rPr>
          <w:b/>
          <w:szCs w:val="28"/>
        </w:rPr>
        <w:br/>
        <w:t>п</w:t>
      </w:r>
      <w:r w:rsidR="004248E9">
        <w:rPr>
          <w:b/>
          <w:szCs w:val="28"/>
        </w:rPr>
        <w:t>ромо-акция</w:t>
      </w:r>
      <w:r w:rsidR="004248E9">
        <w:rPr>
          <w:b/>
          <w:szCs w:val="28"/>
        </w:rPr>
        <w:t>си</w:t>
      </w:r>
      <w:r w:rsidR="004248E9">
        <w:rPr>
          <w:b/>
          <w:szCs w:val="28"/>
        </w:rPr>
        <w:t xml:space="preserve">да иштирок этиш учун оммавий оферта </w:t>
      </w:r>
    </w:p>
    <w:p w14:paraId="6EB23FF4" w14:textId="5D16C107" w:rsidR="00A50FCE" w:rsidRPr="00C80000" w:rsidRDefault="00A50FCE" w:rsidP="005C2BED">
      <w:pPr>
        <w:spacing w:after="0" w:line="259" w:lineRule="auto"/>
        <w:ind w:left="0" w:firstLine="0"/>
        <w:jc w:val="center"/>
        <w:rPr>
          <w:szCs w:val="28"/>
        </w:rPr>
      </w:pPr>
    </w:p>
    <w:p w14:paraId="1CFE9FE6" w14:textId="76CA71FB" w:rsidR="00151512" w:rsidRDefault="00151512" w:rsidP="005C2BED">
      <w:pPr>
        <w:spacing w:after="64" w:line="259" w:lineRule="auto"/>
        <w:ind w:left="0" w:firstLine="0"/>
        <w:jc w:val="center"/>
        <w:rPr>
          <w:b/>
          <w:szCs w:val="28"/>
        </w:rPr>
      </w:pPr>
    </w:p>
    <w:p w14:paraId="6BE3E911" w14:textId="77777777" w:rsidR="00F54830" w:rsidRPr="00F54830" w:rsidRDefault="00F54830" w:rsidP="00F54830">
      <w:pPr>
        <w:spacing w:after="64" w:line="259" w:lineRule="auto"/>
        <w:ind w:left="0" w:firstLine="0"/>
        <w:rPr>
          <w:bCs/>
          <w:szCs w:val="28"/>
        </w:rPr>
      </w:pPr>
    </w:p>
    <w:p w14:paraId="23F621A7" w14:textId="07163EFB" w:rsidR="00F54830" w:rsidRPr="00F54830" w:rsidRDefault="00F54830" w:rsidP="00F54830">
      <w:pPr>
        <w:spacing w:after="64" w:line="259" w:lineRule="auto"/>
        <w:ind w:left="0" w:firstLine="0"/>
        <w:rPr>
          <w:bCs/>
          <w:szCs w:val="28"/>
        </w:rPr>
      </w:pPr>
      <w:r>
        <w:tab/>
        <w:t xml:space="preserve">Мазкур оммавий оферта “InFinBank” АЖ томонидан ташкиллаштириладиган “Мисли йўқ 200% Cashback” промо-акциясининг ўтказилиш тартиби, шартлари, муддатларини белгилаб беради. </w:t>
      </w:r>
    </w:p>
    <w:p w14:paraId="799AAA0A" w14:textId="77777777" w:rsidR="00F54830" w:rsidRDefault="00F54830" w:rsidP="005C2BED">
      <w:pPr>
        <w:spacing w:after="64" w:line="259" w:lineRule="auto"/>
        <w:ind w:left="0" w:firstLine="0"/>
        <w:jc w:val="center"/>
        <w:rPr>
          <w:b/>
          <w:szCs w:val="28"/>
        </w:rPr>
      </w:pPr>
    </w:p>
    <w:p w14:paraId="57BABD2F" w14:textId="5C4C63B9" w:rsidR="009514EE" w:rsidRDefault="00932681" w:rsidP="005C2BED">
      <w:pPr>
        <w:spacing w:after="64" w:line="259" w:lineRule="auto"/>
        <w:ind w:left="0" w:firstLine="0"/>
        <w:jc w:val="center"/>
        <w:rPr>
          <w:b/>
          <w:szCs w:val="28"/>
        </w:rPr>
      </w:pPr>
      <w:r>
        <w:rPr>
          <w:b/>
          <w:szCs w:val="28"/>
        </w:rPr>
        <w:t>Атамалар ва изоҳлар</w:t>
      </w:r>
    </w:p>
    <w:p w14:paraId="249C9033" w14:textId="77777777" w:rsidR="00D61932" w:rsidRDefault="00D61932" w:rsidP="006820E2">
      <w:pPr>
        <w:spacing w:after="64" w:line="259" w:lineRule="auto"/>
        <w:ind w:left="142" w:firstLine="0"/>
        <w:jc w:val="center"/>
        <w:rPr>
          <w:b/>
          <w:szCs w:val="28"/>
        </w:rPr>
      </w:pPr>
    </w:p>
    <w:p w14:paraId="31F8873F" w14:textId="74B25B4D" w:rsidR="00A2051B" w:rsidRDefault="00932681" w:rsidP="004C2D8F">
      <w:pPr>
        <w:spacing w:after="64" w:line="276" w:lineRule="auto"/>
        <w:ind w:left="0" w:firstLine="0"/>
        <w:rPr>
          <w:szCs w:val="28"/>
        </w:rPr>
      </w:pPr>
      <w:r>
        <w:rPr>
          <w:b/>
          <w:szCs w:val="28"/>
        </w:rPr>
        <w:t xml:space="preserve">      </w:t>
      </w:r>
      <w:r>
        <w:rPr>
          <w:b/>
          <w:szCs w:val="28"/>
        </w:rPr>
        <w:tab/>
        <w:t xml:space="preserve">Банк – </w:t>
      </w:r>
      <w:r>
        <w:t xml:space="preserve">“Мисли йўқ 200% Cashback” промо-акциясининг ташкилотчиси саналадиган “Invest Finance Bank” акционерлик жамияти. </w:t>
      </w:r>
    </w:p>
    <w:p w14:paraId="26694731" w14:textId="347426B8" w:rsidR="008068BA" w:rsidRPr="008068BA" w:rsidRDefault="008068BA" w:rsidP="008068BA">
      <w:pPr>
        <w:spacing w:after="64" w:line="276" w:lineRule="auto"/>
        <w:ind w:left="0" w:firstLine="708"/>
        <w:rPr>
          <w:szCs w:val="28"/>
        </w:rPr>
      </w:pPr>
      <w:r>
        <w:rPr>
          <w:b/>
          <w:bCs/>
          <w:color w:val="auto"/>
          <w:szCs w:val="28"/>
        </w:rPr>
        <w:t>Карта эгаси</w:t>
      </w:r>
      <w:r>
        <w:rPr>
          <w:color w:val="auto"/>
          <w:szCs w:val="28"/>
        </w:rPr>
        <w:t xml:space="preserve"> – мижознинг Банк билан шартномаси асосида </w:t>
      </w:r>
      <w:r>
        <w:t xml:space="preserve">Visa </w:t>
      </w:r>
      <w:r>
        <w:rPr>
          <w:color w:val="auto"/>
          <w:szCs w:val="28"/>
        </w:rPr>
        <w:t>банк картасидан фойдаланадиган жизмоний шахс, Банк мижози.</w:t>
      </w:r>
    </w:p>
    <w:p w14:paraId="2FDCEB55" w14:textId="10420DED" w:rsidR="00A2051B" w:rsidRDefault="00A2051B" w:rsidP="004C2D8F">
      <w:pPr>
        <w:spacing w:after="64" w:line="276" w:lineRule="auto"/>
        <w:ind w:left="0" w:firstLine="0"/>
        <w:rPr>
          <w:szCs w:val="28"/>
        </w:rPr>
      </w:pPr>
      <w:r>
        <w:tab/>
      </w:r>
      <w:r>
        <w:rPr>
          <w:b/>
          <w:szCs w:val="28"/>
        </w:rPr>
        <w:t>Иштирокчи</w:t>
      </w:r>
      <w:r>
        <w:t xml:space="preserve"> - 16 ёшдан катта, Ўзбекистон Республикаси фуқароси (резиденти) саналадиган Банк чиқарган Visa карталари эгаси.</w:t>
      </w:r>
    </w:p>
    <w:p w14:paraId="17FB70A3" w14:textId="247573E1" w:rsidR="001754E3" w:rsidRDefault="006D6A1E" w:rsidP="001754E3">
      <w:pPr>
        <w:tabs>
          <w:tab w:val="left" w:pos="426"/>
        </w:tabs>
        <w:spacing w:line="276" w:lineRule="auto"/>
        <w:ind w:left="0" w:firstLine="567"/>
        <w:rPr>
          <w:szCs w:val="28"/>
        </w:rPr>
      </w:pPr>
      <w:r>
        <w:tab/>
      </w:r>
      <w:r>
        <w:rPr>
          <w:b/>
          <w:szCs w:val="28"/>
        </w:rPr>
        <w:t>Ғолиб</w:t>
      </w:r>
      <w:r>
        <w:t xml:space="preserve"> – Randomus махсус дастури ёки шунга ўхшаш дастурлар орқали аниқлаб олинган Банкнинг “Мисли йўқ 200% Cashback” промо-акциясининг 27 та иштирокчиси. </w:t>
      </w:r>
    </w:p>
    <w:p w14:paraId="25A4BF0C" w14:textId="77644808" w:rsidR="00B325CD" w:rsidRPr="005D5F2C" w:rsidRDefault="006D6A1E" w:rsidP="005D5F2C">
      <w:pPr>
        <w:spacing w:after="64" w:line="276" w:lineRule="auto"/>
        <w:ind w:left="0" w:firstLine="0"/>
        <w:rPr>
          <w:szCs w:val="28"/>
        </w:rPr>
      </w:pPr>
      <w:r>
        <w:tab/>
      </w:r>
      <w:r>
        <w:rPr>
          <w:b/>
          <w:szCs w:val="28"/>
        </w:rPr>
        <w:t xml:space="preserve">Соврин – </w:t>
      </w:r>
      <w:r>
        <w:t>Ғолибга солиқлар ва бошқа ҳар қандай мажбурий тўловларни чегириб қолишгача бўлган транзакцияга сарфланган пул маблағларини 200 % миқдорда қайтариш.</w:t>
      </w:r>
    </w:p>
    <w:p w14:paraId="5C2DEBF6" w14:textId="7F988FA6" w:rsidR="004B367F" w:rsidRDefault="004B367F" w:rsidP="007E1B91">
      <w:pPr>
        <w:spacing w:after="64" w:line="259" w:lineRule="auto"/>
        <w:ind w:left="0" w:firstLine="709"/>
        <w:rPr>
          <w:szCs w:val="28"/>
        </w:rPr>
      </w:pPr>
      <w:bookmarkStart w:id="0" w:name="_Hlk141431227"/>
      <w:r>
        <w:rPr>
          <w:b/>
          <w:szCs w:val="28"/>
        </w:rPr>
        <w:t>Транзакция</w:t>
      </w:r>
      <w:r>
        <w:t xml:space="preserve"> – бу товар ва хизматлар, жумладан Visa (Classic, Virtual, Gold, Platinum) картаси орқали интернетда харид қилинганлари тўловини амалга оширишда календарь ойида Иштирокчи ҳисоби бўйича акс этган харажат операцияси (банкоматлар ёки кассалар орқали картадан нақд пул ечиш, картадан картага пул маблағларини ўтказш, шунингдек конверсия операциялари ва омонатлар бўйича операциялар ҳисобга олинмайди).</w:t>
      </w:r>
    </w:p>
    <w:bookmarkEnd w:id="0"/>
    <w:p w14:paraId="68C23659" w14:textId="77777777" w:rsidR="00B27066" w:rsidRDefault="00B27066" w:rsidP="004B367F">
      <w:pPr>
        <w:spacing w:after="64" w:line="276" w:lineRule="auto"/>
        <w:ind w:left="0" w:firstLine="708"/>
        <w:rPr>
          <w:szCs w:val="28"/>
        </w:rPr>
      </w:pPr>
      <w:r>
        <w:rPr>
          <w:b/>
          <w:szCs w:val="28"/>
        </w:rPr>
        <w:t>Шахсни тасдиқловчи ҳужжат</w:t>
      </w:r>
      <w:r>
        <w:t xml:space="preserve"> – Ўзбекистон Республикаси фуқароси паспорти, ҳарбий хизматдагилар учун ҳарбий хизмат гувоҳномаси, ID-карта, янги намунадаги ҳайдовчилик гувоҳномаси, хорижга чиқиш учун биометрик паспорт.</w:t>
      </w:r>
    </w:p>
    <w:p w14:paraId="7DABE971" w14:textId="77777777" w:rsidR="00B27066" w:rsidRDefault="0098323D" w:rsidP="0098323D">
      <w:pPr>
        <w:pStyle w:val="Heading1"/>
        <w:ind w:left="0" w:right="1" w:firstLine="708"/>
        <w:jc w:val="both"/>
        <w:rPr>
          <w:b w:val="0"/>
          <w:szCs w:val="28"/>
        </w:rPr>
      </w:pPr>
      <w:r>
        <w:t xml:space="preserve">Шахсий маълумотлар - </w:t>
      </w:r>
      <w:r>
        <w:rPr>
          <w:b w:val="0"/>
          <w:szCs w:val="28"/>
        </w:rPr>
        <w:t>иштирокчига тегишли бўлган ёки уни идентификация қилиш имконини берувчи электрон, қоғоз ва (ёки) бошқа моддий ташувчида қайд этилган маълумот.</w:t>
      </w:r>
    </w:p>
    <w:p w14:paraId="47279095" w14:textId="77777777" w:rsidR="0098323D" w:rsidRPr="0098323D" w:rsidRDefault="0098323D" w:rsidP="0098323D"/>
    <w:p w14:paraId="53E279C5" w14:textId="77777777" w:rsidR="00A50FCE" w:rsidRPr="00C80000" w:rsidRDefault="00873457" w:rsidP="00C80000">
      <w:pPr>
        <w:pStyle w:val="Heading1"/>
        <w:ind w:left="150" w:right="1"/>
        <w:rPr>
          <w:szCs w:val="28"/>
        </w:rPr>
      </w:pPr>
      <w:r>
        <w:lastRenderedPageBreak/>
        <w:t>1. Умумий қоидалар</w:t>
      </w:r>
    </w:p>
    <w:p w14:paraId="32666C02" w14:textId="5A739584" w:rsidR="00A50FCE" w:rsidRPr="00054AE7" w:rsidRDefault="00873457" w:rsidP="004C2D8F">
      <w:pPr>
        <w:spacing w:after="0" w:line="276" w:lineRule="auto"/>
        <w:ind w:left="0" w:firstLine="0"/>
        <w:rPr>
          <w:szCs w:val="28"/>
        </w:rPr>
      </w:pPr>
      <w:bookmarkStart w:id="1" w:name="_Hlk139641884"/>
      <w:r>
        <w:t>1.1. Мазкур қоидалар  “Мисли йўқ 200% Cashback” промо-акциясининг (кейинги ўринларда - акция) ўтказилиш тартиби, шартлари, жойи ва муддатларини белгилаб беради.</w:t>
      </w:r>
    </w:p>
    <w:p w14:paraId="1E4A62B8" w14:textId="14765542" w:rsidR="00A50FCE" w:rsidRPr="00C80000" w:rsidRDefault="00873457" w:rsidP="006D6A1E">
      <w:pPr>
        <w:spacing w:after="0" w:line="276" w:lineRule="auto"/>
        <w:ind w:left="0" w:firstLine="0"/>
        <w:rPr>
          <w:szCs w:val="28"/>
        </w:rPr>
      </w:pPr>
      <w:r>
        <w:t xml:space="preserve">1.2. Акциянинг ўтказилиш ҳудуди: акция Ўзбекистон Республикаси ҳудудида “InFinBank” АЖ банк тизимида ўтказилади. </w:t>
      </w:r>
    </w:p>
    <w:p w14:paraId="26B9E617" w14:textId="468C76AD" w:rsidR="00A50FCE" w:rsidRPr="00C80000" w:rsidRDefault="00873457" w:rsidP="0098323D">
      <w:pPr>
        <w:spacing w:after="0" w:line="276" w:lineRule="auto"/>
        <w:ind w:left="0" w:firstLine="0"/>
        <w:rPr>
          <w:szCs w:val="28"/>
        </w:rPr>
      </w:pPr>
      <w:r>
        <w:t xml:space="preserve">1.3. Акциянинг ўтказилиш муддатлари: акция 2023 йилнинг 7 августидан 7 октябрига қадар ўтказилади.  </w:t>
      </w:r>
    </w:p>
    <w:bookmarkEnd w:id="1"/>
    <w:p w14:paraId="44BCD181" w14:textId="77777777" w:rsidR="00A50FCE" w:rsidRPr="00C80000" w:rsidRDefault="00873457" w:rsidP="00C80000">
      <w:pPr>
        <w:pStyle w:val="Heading1"/>
        <w:ind w:left="150" w:right="2"/>
        <w:rPr>
          <w:szCs w:val="28"/>
        </w:rPr>
      </w:pPr>
      <w:r>
        <w:t>2. Акция иштирокчилари</w:t>
      </w:r>
    </w:p>
    <w:p w14:paraId="1ABE10D7" w14:textId="1CE1C6B8" w:rsidR="00A50FCE" w:rsidRDefault="00873457" w:rsidP="004C2D8F">
      <w:pPr>
        <w:spacing w:after="5" w:line="276" w:lineRule="auto"/>
        <w:ind w:left="0" w:hanging="9"/>
        <w:rPr>
          <w:szCs w:val="28"/>
        </w:rPr>
      </w:pPr>
      <w:r>
        <w:t xml:space="preserve">2.1. 16 ёшдан катта, Ўзбекистон Республикаси фуқаролари (резидентлари) саналадиган, Банк томонидан чиқарилган барча Visa Classic, Visa Virtual, Visa Gold ва Visa Platinum карталари эгалари акцияда қатнашишларига рухсат этилади. </w:t>
      </w:r>
    </w:p>
    <w:p w14:paraId="0898CCD2" w14:textId="104B658F" w:rsidR="00207839" w:rsidRPr="00207839" w:rsidRDefault="00207839" w:rsidP="004C2D8F">
      <w:pPr>
        <w:spacing w:after="5" w:line="276" w:lineRule="auto"/>
        <w:ind w:left="0" w:hanging="9"/>
        <w:rPr>
          <w:szCs w:val="28"/>
        </w:rPr>
      </w:pPr>
      <w:r>
        <w:t xml:space="preserve">2.2. Банк ходимлари ва уларнинг яқин қариндошлари акцияда қатнашишларига рухсат этилмайди. </w:t>
      </w:r>
    </w:p>
    <w:p w14:paraId="68F6370E" w14:textId="38952AC8" w:rsidR="00A50FCE" w:rsidRPr="00C80000" w:rsidRDefault="00873457" w:rsidP="004C2D8F">
      <w:pPr>
        <w:spacing w:after="65" w:line="276" w:lineRule="auto"/>
        <w:ind w:left="0"/>
        <w:rPr>
          <w:szCs w:val="28"/>
        </w:rPr>
      </w:pPr>
      <w:r>
        <w:t xml:space="preserve">2.3. Акцияда қатнашиш акция иштирокчиларининг мазкур Қоидаларга тўлиқ рози эканини назарда тутади. </w:t>
      </w:r>
    </w:p>
    <w:p w14:paraId="48AAF8B7" w14:textId="7883D16A" w:rsidR="00A50FCE" w:rsidRPr="00C80000" w:rsidRDefault="00873457" w:rsidP="004C2D8F">
      <w:pPr>
        <w:spacing w:after="5" w:line="276" w:lineRule="auto"/>
        <w:ind w:left="0" w:hanging="9"/>
        <w:rPr>
          <w:szCs w:val="28"/>
        </w:rPr>
      </w:pPr>
      <w:r>
        <w:t xml:space="preserve">2.4. Акция иштирокчилари ушбу Қоидаларнинг талабларига риоя қилмаганда иштирокчи акцияда қатнашишни давом эттириш ва соврин олиш ҳуқуқини йўқотади. Соврин олиш учун акция иштирокчилари ушбу Қоидаларга мувофиқ улардан талаб этиладиган барча ҳаракатларни соврин олишни тасдиқловчи ҳужжатларни имзолаш пайтигача бўлган акциянинг ўтказилиш муддати давомида бажаришлари шарт. </w:t>
      </w:r>
    </w:p>
    <w:p w14:paraId="62145C25" w14:textId="77777777" w:rsidR="00A50FCE" w:rsidRPr="00C80000" w:rsidRDefault="00873457" w:rsidP="00C80000">
      <w:pPr>
        <w:spacing w:after="67" w:line="259" w:lineRule="auto"/>
        <w:ind w:left="142" w:firstLine="0"/>
        <w:rPr>
          <w:szCs w:val="28"/>
        </w:rPr>
      </w:pPr>
      <w:r>
        <w:t xml:space="preserve"> </w:t>
      </w:r>
    </w:p>
    <w:p w14:paraId="421FE536" w14:textId="77777777" w:rsidR="00A50FCE" w:rsidRPr="00C80000" w:rsidRDefault="00873457" w:rsidP="009514EE">
      <w:pPr>
        <w:pStyle w:val="Heading1"/>
        <w:ind w:left="150" w:right="2"/>
        <w:rPr>
          <w:szCs w:val="28"/>
        </w:rPr>
      </w:pPr>
      <w:r>
        <w:t>3. Акцияда иштирок этиш шартлари</w:t>
      </w:r>
    </w:p>
    <w:p w14:paraId="5CA9266D" w14:textId="6383A5F2" w:rsidR="00A50FCE" w:rsidRPr="00C80000" w:rsidRDefault="00873457" w:rsidP="009514EE">
      <w:pPr>
        <w:spacing w:after="55"/>
        <w:ind w:left="0"/>
        <w:rPr>
          <w:szCs w:val="28"/>
        </w:rPr>
      </w:pPr>
      <w:r>
        <w:t xml:space="preserve">3.1. Акцияда иштирок этиш учун акция бошлангунга қадар ёки акциянинг ўтказилиши вақтида Банк томонидан чиқарилган VISA (Classic, Virtual, Gold, Platinum) картаси эгаси бўлиш зарур. VISA (Classic, Virtual, Gold, Platinum) картаси эгаси АҚШ долларида ёки акция бошланиш санасидаги сўмга нисбатан валюта курси бўйича сўмда транзакцияни амалга ошириши зарур, шундан сўнг у автоматик равишда ушбу акция иштирокчисига айланади (бу ҳолат карта эгаси томонидан ушбу офертанинг акцепти деб ҳисобланади). Ҳар бир транзакция ўйинда иштирок этиш имкониятини беради. Шу билан бирга акция доирасида мижоз транзакциясининг Банк икки карра оширадиган юқори чегараси белгиланган. Максимал транзакция суммаси 500,00 (беш юз) АҚШ доллари этиб белгиланган, яъни агар карта эгаси 500,00 (беш юз) АҚШ долларидан ортиқ бир марталик транзакцияни амалга оширса, ғолибнинг соврин суммаси 1000,00 (минг) АҚШ долларини ташкил қилади.   </w:t>
      </w:r>
    </w:p>
    <w:p w14:paraId="47EFE7F1" w14:textId="007B9A78" w:rsidR="00207839" w:rsidRDefault="00207839" w:rsidP="009514EE">
      <w:pPr>
        <w:ind w:left="0" w:firstLine="0"/>
        <w:rPr>
          <w:szCs w:val="28"/>
        </w:rPr>
      </w:pPr>
      <w:r>
        <w:lastRenderedPageBreak/>
        <w:t>3.2. Ўйинда офлайн ва онлайн амалга оширилган барча савдо транзакциялари қатнашади. Мижоз Ўзбекистон Республикаси қонунчилиги билан тақиқланмаган ҳар қандай транзакцияни ҳам АҚШ долларида, ҳам миллий валютада (сўм) Visa (Classic, Virtual, Gold, Platinum) картаси орқали амалга ошириши мумкин.</w:t>
      </w:r>
    </w:p>
    <w:p w14:paraId="59A1EAA1" w14:textId="77777777" w:rsidR="00207839" w:rsidRPr="00C80000" w:rsidRDefault="00207839" w:rsidP="009514EE">
      <w:pPr>
        <w:ind w:left="0" w:firstLine="0"/>
        <w:rPr>
          <w:szCs w:val="28"/>
        </w:rPr>
      </w:pPr>
    </w:p>
    <w:p w14:paraId="33B319C6" w14:textId="77777777" w:rsidR="00C80000" w:rsidRDefault="00873457" w:rsidP="00C80000">
      <w:pPr>
        <w:spacing w:line="323" w:lineRule="auto"/>
        <w:ind w:left="129" w:firstLine="3564"/>
        <w:rPr>
          <w:b/>
          <w:szCs w:val="28"/>
        </w:rPr>
      </w:pPr>
      <w:r>
        <w:rPr>
          <w:b/>
          <w:szCs w:val="28"/>
        </w:rPr>
        <w:t xml:space="preserve">4. Соврин жамғармаси </w:t>
      </w:r>
    </w:p>
    <w:p w14:paraId="78F0A15C" w14:textId="27393FFB" w:rsidR="00873ADD" w:rsidRPr="00054AE7" w:rsidRDefault="00D62732" w:rsidP="004C2D8F">
      <w:pPr>
        <w:spacing w:line="276" w:lineRule="auto"/>
        <w:ind w:left="142" w:hanging="129"/>
        <w:rPr>
          <w:szCs w:val="28"/>
        </w:rPr>
      </w:pPr>
      <w:r>
        <w:t xml:space="preserve">4.1.    Соврин: Ғолибга транзакция суммасидан Cashback 200% қайтариш. </w:t>
      </w:r>
    </w:p>
    <w:p w14:paraId="2730E914" w14:textId="72F1D4AB" w:rsidR="00A50FCE" w:rsidRDefault="00873457" w:rsidP="004C2D8F">
      <w:pPr>
        <w:pStyle w:val="ListParagraph"/>
        <w:numPr>
          <w:ilvl w:val="1"/>
          <w:numId w:val="2"/>
        </w:numPr>
        <w:spacing w:line="276" w:lineRule="auto"/>
        <w:ind w:left="0" w:firstLine="0"/>
        <w:rPr>
          <w:szCs w:val="28"/>
        </w:rPr>
      </w:pPr>
      <w:r>
        <w:t>Ғолиб совринни алмаштиришни талаб қилиш ҳуқуқига эга эмас.</w:t>
      </w:r>
    </w:p>
    <w:p w14:paraId="23BDDCF4" w14:textId="405E0E32" w:rsidR="001E5905" w:rsidRPr="00385B82" w:rsidRDefault="00385B82" w:rsidP="00385B82">
      <w:pPr>
        <w:pStyle w:val="ListParagraph"/>
        <w:numPr>
          <w:ilvl w:val="1"/>
          <w:numId w:val="2"/>
        </w:numPr>
        <w:spacing w:line="276" w:lineRule="auto"/>
        <w:ind w:left="0" w:firstLine="0"/>
        <w:rPr>
          <w:szCs w:val="28"/>
        </w:rPr>
      </w:pPr>
      <w:r>
        <w:t>Ўзбекистон Республикаси Солиқ кодексига мувофиқ, Банк жисмоний шахсдан барча тегишли солиқларни ва ушбу акция бўйича совринни олиш билан боғлиқ юзага келадиган давлат бюджетига мажбурий тўловларни ушлаб қолиш мажбуриятини ўз зиммасига олади.</w:t>
      </w:r>
    </w:p>
    <w:p w14:paraId="42789231" w14:textId="45D22FBE" w:rsidR="007E1B91" w:rsidRDefault="007E1B91" w:rsidP="001E5905">
      <w:pPr>
        <w:pStyle w:val="ListParagraph"/>
        <w:numPr>
          <w:ilvl w:val="1"/>
          <w:numId w:val="2"/>
        </w:numPr>
        <w:spacing w:after="5" w:line="276" w:lineRule="auto"/>
        <w:ind w:left="0" w:firstLine="0"/>
        <w:rPr>
          <w:szCs w:val="28"/>
        </w:rPr>
      </w:pPr>
      <w:r>
        <w:t xml:space="preserve">Соврин олиш ҳуқуқини учинчи шахсга бериш тақиқланади. </w:t>
      </w:r>
    </w:p>
    <w:p w14:paraId="2B7E6138" w14:textId="77777777" w:rsidR="001E5905" w:rsidRPr="001E5905" w:rsidRDefault="001E5905" w:rsidP="001E5905">
      <w:pPr>
        <w:pStyle w:val="ListParagraph"/>
        <w:spacing w:after="5" w:line="276" w:lineRule="auto"/>
        <w:ind w:left="0" w:firstLine="0"/>
        <w:rPr>
          <w:szCs w:val="28"/>
        </w:rPr>
      </w:pPr>
    </w:p>
    <w:p w14:paraId="01FEC8C9" w14:textId="59402A45" w:rsidR="009514EE" w:rsidRDefault="00873457" w:rsidP="00395030">
      <w:pPr>
        <w:spacing w:after="44"/>
        <w:ind w:left="129" w:firstLine="0"/>
        <w:jc w:val="center"/>
        <w:rPr>
          <w:b/>
          <w:szCs w:val="28"/>
        </w:rPr>
      </w:pPr>
      <w:r>
        <w:rPr>
          <w:b/>
          <w:szCs w:val="28"/>
        </w:rPr>
        <w:t>5. Акциянинг ўтказилиш тартиби ва совринлар ўйини жараёни</w:t>
      </w:r>
    </w:p>
    <w:p w14:paraId="76799234" w14:textId="5569BACC" w:rsidR="007E1B91" w:rsidRDefault="00D714DA" w:rsidP="007E1B91">
      <w:pPr>
        <w:tabs>
          <w:tab w:val="left" w:pos="426"/>
          <w:tab w:val="left" w:pos="567"/>
        </w:tabs>
        <w:spacing w:after="44" w:line="276" w:lineRule="auto"/>
        <w:ind w:left="0" w:firstLine="0"/>
        <w:rPr>
          <w:szCs w:val="28"/>
        </w:rPr>
      </w:pPr>
      <w:r>
        <w:t xml:space="preserve">5.1. 2023 йилнинг 7 августидан 7 октябригача муддатда ушбу Қоидаларга мос келувчи шахслар соврин ўйини иштирокчиларига айланади. Соврин ўйини ҳар ҳафта Банкнинг ижтимоий тармоқлардаги саҳифасида жонли эфирда ўтказилади. </w:t>
      </w:r>
    </w:p>
    <w:p w14:paraId="30EABE64" w14:textId="2E342940" w:rsidR="007E1B91" w:rsidRDefault="00DF7720" w:rsidP="007E1B91">
      <w:pPr>
        <w:numPr>
          <w:ilvl w:val="1"/>
          <w:numId w:val="6"/>
        </w:numPr>
        <w:tabs>
          <w:tab w:val="left" w:pos="426"/>
        </w:tabs>
        <w:spacing w:line="276" w:lineRule="auto"/>
        <w:ind w:left="0" w:firstLine="0"/>
        <w:rPr>
          <w:szCs w:val="28"/>
        </w:rPr>
      </w:pPr>
      <w:r>
        <w:t xml:space="preserve"> Ушбу акция бўйича ғолиблар махсус Randomus дастури ёки тасодифий сонларни тақдим этувчи шунга ўхшаш дастурлар орқали аниқланади. </w:t>
      </w:r>
    </w:p>
    <w:p w14:paraId="12489EDE" w14:textId="0254C9C2" w:rsidR="00D714DA" w:rsidRDefault="00D714DA" w:rsidP="007E1B91">
      <w:pPr>
        <w:numPr>
          <w:ilvl w:val="1"/>
          <w:numId w:val="6"/>
        </w:numPr>
        <w:tabs>
          <w:tab w:val="left" w:pos="426"/>
        </w:tabs>
        <w:spacing w:line="276" w:lineRule="auto"/>
        <w:ind w:left="0" w:firstLine="0"/>
        <w:rPr>
          <w:szCs w:val="28"/>
        </w:rPr>
      </w:pPr>
      <w:r>
        <w:t xml:space="preserve"> Ушбу акция бўйича ўйин босқичларидан бирининг ғолиби унинг кейинги босқичига рухсат этилмайди, шунингдек мазкур акция доирасида икки ёки ундан ортиқ соврин олиш ҳуқуқига эга эмас.</w:t>
      </w:r>
    </w:p>
    <w:p w14:paraId="236955E6" w14:textId="524AD5F4" w:rsidR="00D714DA" w:rsidRDefault="00D714DA" w:rsidP="007E1B91">
      <w:pPr>
        <w:numPr>
          <w:ilvl w:val="1"/>
          <w:numId w:val="6"/>
        </w:numPr>
        <w:tabs>
          <w:tab w:val="left" w:pos="426"/>
        </w:tabs>
        <w:spacing w:line="276" w:lineRule="auto"/>
        <w:ind w:left="0" w:firstLine="0"/>
        <w:rPr>
          <w:szCs w:val="28"/>
        </w:rPr>
      </w:pPr>
      <w:r>
        <w:t xml:space="preserve"> </w:t>
      </w:r>
      <w:bookmarkStart w:id="2" w:name="_Hlk141431193"/>
      <w:r>
        <w:t>Криптовалюта, казино ва Ўзбекистон Республикаси ҳудудида тақиқланган бошқа операцияларга тегишли транзакциялар акцияда қатнашишига рухсат этилмайди.</w:t>
      </w:r>
      <w:bookmarkEnd w:id="2"/>
    </w:p>
    <w:p w14:paraId="3896D294" w14:textId="4E6DC81F" w:rsidR="007E1B91" w:rsidRDefault="00DF7720" w:rsidP="007E1B91">
      <w:pPr>
        <w:numPr>
          <w:ilvl w:val="1"/>
          <w:numId w:val="6"/>
        </w:numPr>
        <w:tabs>
          <w:tab w:val="left" w:pos="426"/>
        </w:tabs>
        <w:spacing w:after="5" w:line="276" w:lineRule="auto"/>
        <w:ind w:left="0" w:firstLine="0"/>
        <w:rPr>
          <w:szCs w:val="28"/>
        </w:rPr>
      </w:pPr>
      <w:r>
        <w:t xml:space="preserve"> Банк акция иштирокчилари билан ёзма музокаралар ёки бошқа турдаги алоқаларга киришмаслик ҳуқуқини ўзида сақлаб қолади, баҳсли вазиятлар ёки соврин бериш билан боғлиқ юзага келган ҳолатлар бундан мустасно. </w:t>
      </w:r>
    </w:p>
    <w:p w14:paraId="0D193FDA" w14:textId="046F4F34" w:rsidR="007E1B91" w:rsidRDefault="00DF7720" w:rsidP="007E1B91">
      <w:pPr>
        <w:numPr>
          <w:ilvl w:val="1"/>
          <w:numId w:val="6"/>
        </w:numPr>
        <w:tabs>
          <w:tab w:val="left" w:pos="426"/>
        </w:tabs>
        <w:spacing w:line="268" w:lineRule="auto"/>
        <w:ind w:left="0" w:firstLine="0"/>
        <w:rPr>
          <w:szCs w:val="28"/>
        </w:rPr>
      </w:pPr>
      <w:r>
        <w:t xml:space="preserve"> Акцияда иштирок этиш факти иштирокчилар уларнинг исмлари, фамилиялари, фотосуратлари ва улар ҳақидаги бошқа материаллардан Банк реклама мақсадларида иштирокчиларга бирор-бир мукофот тўловисиз фойдаланилиши мумкинлигига розилик беришини англатади. </w:t>
      </w:r>
    </w:p>
    <w:p w14:paraId="1CB337A2" w14:textId="1D9F9D57" w:rsidR="007E1B91" w:rsidRDefault="00DF7720" w:rsidP="007E1B91">
      <w:pPr>
        <w:numPr>
          <w:ilvl w:val="1"/>
          <w:numId w:val="6"/>
        </w:numPr>
        <w:tabs>
          <w:tab w:val="left" w:pos="426"/>
        </w:tabs>
        <w:spacing w:line="276" w:lineRule="auto"/>
        <w:ind w:left="0" w:firstLine="0"/>
        <w:rPr>
          <w:szCs w:val="28"/>
        </w:rPr>
      </w:pPr>
      <w:r>
        <w:t xml:space="preserve"> Банк ушбу Қоидаларга ҳар қандай ўзгартириш ва қўшимчалар киритиш ҳуқуқини бундай ўзгартиришлар кучга киришидан 10 (ўн) иш куни олдин </w:t>
      </w:r>
      <w:r>
        <w:rPr>
          <w:color w:val="0562C2"/>
          <w:szCs w:val="28"/>
        </w:rPr>
        <w:t xml:space="preserve">www.infinbank.com </w:t>
      </w:r>
      <w:r>
        <w:t xml:space="preserve">сайтида ўзгаришлар ҳақидаги эълонни олдиндан жойлаштирган ҳолда ўзида сақлаб қолади. Банк совринлар рўйхати ва миқдорини, шунингдек ўйин даврини ўзгартириш ёки кенгайтириш ҳуқуқига эга. </w:t>
      </w:r>
      <w:r>
        <w:lastRenderedPageBreak/>
        <w:t xml:space="preserve">Банк иштирокчи акцияда қатнашиши туфайли юзага келиши мумкин бўлган зарарлар, харажатлар ва бошқа харажатларни тўламайди ва қоплаб бермайди. </w:t>
      </w:r>
    </w:p>
    <w:p w14:paraId="226A067D" w14:textId="5D0C8571" w:rsidR="007E1B91" w:rsidRDefault="006501BA" w:rsidP="007E1B91">
      <w:pPr>
        <w:numPr>
          <w:ilvl w:val="1"/>
          <w:numId w:val="6"/>
        </w:numPr>
        <w:tabs>
          <w:tab w:val="left" w:pos="426"/>
        </w:tabs>
        <w:spacing w:line="276" w:lineRule="auto"/>
        <w:ind w:left="0" w:firstLine="0"/>
        <w:rPr>
          <w:szCs w:val="28"/>
        </w:rPr>
      </w:pPr>
      <w:r>
        <w:t xml:space="preserve"> Банк совриндан фойдаланишнинг бутун муддати давомида соврин эгаси саломатлиги ҳамда мулкига, учинчи шахсларнинг саломатлиги ёки ҳаётига етказилган зарар учун ҳеч қандай мажбуриятга эга эмас. </w:t>
      </w:r>
    </w:p>
    <w:p w14:paraId="5887AB92" w14:textId="017967E4" w:rsidR="007E1B91" w:rsidRDefault="007E1B91" w:rsidP="007E1B91">
      <w:pPr>
        <w:numPr>
          <w:ilvl w:val="1"/>
          <w:numId w:val="6"/>
        </w:numPr>
        <w:tabs>
          <w:tab w:val="left" w:pos="567"/>
        </w:tabs>
        <w:spacing w:after="5" w:line="276" w:lineRule="auto"/>
        <w:ind w:left="0" w:firstLine="0"/>
        <w:rPr>
          <w:szCs w:val="28"/>
        </w:rPr>
      </w:pPr>
      <w:r>
        <w:t xml:space="preserve">Ушбу акция ўтказилаётганда юзага келиши мумкин бўлган барча баҳслар ва келишмовчиликлар ихтиёрий равишда ва ўзаро тушуниш асосида Банк ва Иштирокчилар ўртасидаги музокаралар орқали ҳал қилинади. Келишувга эришилмаса, баҳс Банк жойлашуви бўйича судда суд тартибида кўриб чиқилиши лозим. </w:t>
      </w:r>
    </w:p>
    <w:p w14:paraId="67CDE8C9" w14:textId="160AB0F8" w:rsidR="007E1B91" w:rsidRDefault="00DF7720" w:rsidP="007E1B91">
      <w:pPr>
        <w:numPr>
          <w:ilvl w:val="1"/>
          <w:numId w:val="6"/>
        </w:numPr>
        <w:tabs>
          <w:tab w:val="left" w:pos="567"/>
        </w:tabs>
        <w:spacing w:after="5" w:line="276" w:lineRule="auto"/>
        <w:ind w:left="0" w:firstLine="0"/>
        <w:rPr>
          <w:szCs w:val="28"/>
        </w:rPr>
      </w:pPr>
      <w:r>
        <w:t xml:space="preserve"> Банк ижтимоий тармоқларда жонли эфирда махсус Randomus дастури ёки тасодифий сонларни тақдим этадиган шунга ўхшаш дастурлар ёрдамида 27 та асосий ғолибни аниқлаб олади ва Асосий ғолиблар совринни олишни инкор қилган ва/ёки ушбу Қоидаларда кўзда тутилган муддатда олмаган ҳолатда захира номзодлар сифатида қўшимча 5 (беш) та иштирокчини аниқлайди. </w:t>
      </w:r>
    </w:p>
    <w:p w14:paraId="616864AC" w14:textId="6404EB6C" w:rsidR="007E1B91" w:rsidRDefault="007E1B91" w:rsidP="007E1B91">
      <w:pPr>
        <w:numPr>
          <w:ilvl w:val="1"/>
          <w:numId w:val="6"/>
        </w:numPr>
        <w:spacing w:line="276" w:lineRule="auto"/>
        <w:ind w:left="0" w:firstLine="0"/>
        <w:rPr>
          <w:szCs w:val="28"/>
        </w:rPr>
      </w:pPr>
      <w:r>
        <w:t xml:space="preserve">Асосий ғолиб совринни олмаган ва/ёки муддатида олмаган тақдирда соврин махсус Randomus дастури ёки тасодифий сонларни тақдим этувчи шунга ўхшаш дастурларда биринчи бўлиб аниқланган захира номзодга берилади. Биринчи захира номзод соврин олишни инкор қилса ёки муддатида олмаса, соврин иккинчи захира номзодга берилади. </w:t>
      </w:r>
    </w:p>
    <w:p w14:paraId="7CEB0BC6" w14:textId="37D0069A" w:rsidR="007E1B91" w:rsidRDefault="007E1B91" w:rsidP="007E1B91">
      <w:pPr>
        <w:numPr>
          <w:ilvl w:val="1"/>
          <w:numId w:val="6"/>
        </w:numPr>
        <w:spacing w:after="5" w:line="276" w:lineRule="auto"/>
        <w:ind w:left="0" w:firstLine="0"/>
        <w:rPr>
          <w:szCs w:val="28"/>
        </w:rPr>
      </w:pPr>
      <w:r>
        <w:t xml:space="preserve">Барча номзодлар совринни олишни инкор қилса ёки муддатида олмаса, Банк комиссияси қарори бўйича ушбу бўлимнинг тегишли бандларида кўзда тутилган тартибда Ғолибларни муқобил аниқлаш ўтказилади. </w:t>
      </w:r>
    </w:p>
    <w:p w14:paraId="602F9D58" w14:textId="77777777" w:rsidR="007E1B91" w:rsidRDefault="007E1B91" w:rsidP="007E1B91">
      <w:pPr>
        <w:numPr>
          <w:ilvl w:val="1"/>
          <w:numId w:val="6"/>
        </w:numPr>
        <w:spacing w:after="5" w:line="276" w:lineRule="auto"/>
        <w:ind w:left="0" w:firstLine="0"/>
        <w:rPr>
          <w:szCs w:val="28"/>
        </w:rPr>
      </w:pPr>
      <w:r>
        <w:t xml:space="preserve">Ғолибларни муқобил аниқлаш ўтказиш натижалари бўйича совринни олишни инкор қилиш ва/ёки муддатида олмаслик натижасида соврин олинмаса, Банк совриндан ўз хоҳишига кўра фойдаланиш ҳуқуқини ўзида сақлаб қолади. </w:t>
      </w:r>
    </w:p>
    <w:p w14:paraId="1DB420E6" w14:textId="77777777" w:rsidR="007E1B91" w:rsidRDefault="007E1B91" w:rsidP="007E1B91">
      <w:pPr>
        <w:pStyle w:val="ListParagraph"/>
        <w:numPr>
          <w:ilvl w:val="1"/>
          <w:numId w:val="6"/>
        </w:numPr>
        <w:spacing w:line="276" w:lineRule="auto"/>
        <w:ind w:left="0"/>
        <w:rPr>
          <w:szCs w:val="28"/>
        </w:rPr>
      </w:pPr>
      <w:r>
        <w:t xml:space="preserve">Ўтказилган акция, ғолибларни аниқлаш жараёни натижаларига кўра Банк комиссияси баённомаси расмийлаштирилади ва Банк комиссияси аъзолари томонидан имзоланади. </w:t>
      </w:r>
    </w:p>
    <w:p w14:paraId="225EC88F" w14:textId="77777777" w:rsidR="007E1B91" w:rsidRDefault="007E1B91" w:rsidP="007E1B91">
      <w:pPr>
        <w:numPr>
          <w:ilvl w:val="1"/>
          <w:numId w:val="6"/>
        </w:numPr>
        <w:spacing w:line="276" w:lineRule="auto"/>
        <w:ind w:left="0" w:firstLine="0"/>
        <w:rPr>
          <w:szCs w:val="28"/>
        </w:rPr>
      </w:pPr>
      <w:r>
        <w:t xml:space="preserve">Ғолиб номи Банкнинг расмий корпоратив веб-сайтида, оммавий ахборот воситаларида, шунингдек ижтимоий тармоқларда эълон қилинади. </w:t>
      </w:r>
    </w:p>
    <w:p w14:paraId="2940E7D9" w14:textId="77777777" w:rsidR="007E1B91" w:rsidRDefault="007E1B91" w:rsidP="007E1B91">
      <w:pPr>
        <w:numPr>
          <w:ilvl w:val="1"/>
          <w:numId w:val="6"/>
        </w:numPr>
        <w:spacing w:line="276" w:lineRule="auto"/>
        <w:ind w:left="0" w:firstLine="0"/>
        <w:rPr>
          <w:szCs w:val="28"/>
        </w:rPr>
      </w:pPr>
      <w:r>
        <w:t xml:space="preserve">Банк соврин ғолибига хабарни ижтимоий тармоқларда юборади. </w:t>
      </w:r>
    </w:p>
    <w:p w14:paraId="3A0B37C4" w14:textId="2D7EFBD0" w:rsidR="007E1B91" w:rsidRDefault="007E1B91" w:rsidP="007E1B91">
      <w:pPr>
        <w:numPr>
          <w:ilvl w:val="1"/>
          <w:numId w:val="6"/>
        </w:numPr>
        <w:spacing w:line="276" w:lineRule="auto"/>
        <w:ind w:left="0" w:firstLine="0"/>
        <w:rPr>
          <w:szCs w:val="28"/>
        </w:rPr>
      </w:pPr>
      <w:r>
        <w:t xml:space="preserve">Иштирокчи акция шартларига амал қилмаганлиги оқибатлари учун Банк жавобгар бўлмайди.  </w:t>
      </w:r>
    </w:p>
    <w:p w14:paraId="1AB109C3" w14:textId="77777777" w:rsidR="00D714DA" w:rsidRDefault="00D714DA" w:rsidP="00D714DA">
      <w:pPr>
        <w:spacing w:line="276" w:lineRule="auto"/>
        <w:ind w:left="0" w:firstLine="0"/>
        <w:rPr>
          <w:szCs w:val="28"/>
        </w:rPr>
      </w:pPr>
    </w:p>
    <w:p w14:paraId="2A40DF62" w14:textId="09448A4A" w:rsidR="00A50FCE" w:rsidRDefault="00873457" w:rsidP="00395030">
      <w:pPr>
        <w:pStyle w:val="Heading1"/>
        <w:ind w:left="150"/>
        <w:rPr>
          <w:szCs w:val="28"/>
        </w:rPr>
      </w:pPr>
      <w:r>
        <w:t>6. Совринларни олиш тартиби ва муддатлари</w:t>
      </w:r>
    </w:p>
    <w:p w14:paraId="2579FDBE" w14:textId="54083917" w:rsidR="00BB4C34" w:rsidRDefault="00BB4C34" w:rsidP="00BB4C34"/>
    <w:p w14:paraId="4BFBC829" w14:textId="2A41D43E" w:rsidR="00BB4C34" w:rsidRDefault="00BB4C34" w:rsidP="00BB4C34">
      <w:pPr>
        <w:spacing w:line="276" w:lineRule="auto"/>
        <w:ind w:left="0" w:firstLine="0"/>
        <w:rPr>
          <w:szCs w:val="28"/>
        </w:rPr>
      </w:pPr>
      <w:r>
        <w:t xml:space="preserve">6.1. Ғолиб шахсни тасдиқловчи асл ҳужжатни тақдим этиши ва совринни бериш билан боғлиқ керакли ҳужжатларни имзолаши шарти билан, ОПЕРУ, филиаллар </w:t>
      </w:r>
      <w:r>
        <w:lastRenderedPageBreak/>
        <w:t xml:space="preserve">ва Бош офиснинг юридик манзили бўйича VISA карталарига кэшбек қайтарилади. </w:t>
      </w:r>
    </w:p>
    <w:p w14:paraId="153ABABE" w14:textId="77777777" w:rsidR="00BB4C34" w:rsidRDefault="00BB4C34" w:rsidP="00BB4C34">
      <w:pPr>
        <w:spacing w:line="276" w:lineRule="auto"/>
        <w:ind w:left="0" w:firstLine="0"/>
        <w:rPr>
          <w:szCs w:val="28"/>
        </w:rPr>
      </w:pPr>
      <w:r>
        <w:t xml:space="preserve">6.2. Ғолиб Банк унинг совринни ютганлиги ҳақида хабар берган санадан бошлаб 10 (ўн) иш куни ичида Совринни олиши учун Банкка ташриф буюриши шарт. </w:t>
      </w:r>
    </w:p>
    <w:p w14:paraId="091AC971" w14:textId="77777777" w:rsidR="00BB4C34" w:rsidRDefault="00BB4C34" w:rsidP="00BB4C34">
      <w:pPr>
        <w:spacing w:after="79" w:line="276" w:lineRule="auto"/>
        <w:ind w:left="0" w:firstLine="0"/>
        <w:rPr>
          <w:szCs w:val="28"/>
        </w:rPr>
      </w:pPr>
      <w:r>
        <w:t xml:space="preserve">6.3. Ғолибга совринни бериш Ғолиб ва Банкнинг ваколатли вакили имзолайдиган Қабул қилиш-топшириш акти асосида амалга оширилади. </w:t>
      </w:r>
    </w:p>
    <w:p w14:paraId="63AEB34A" w14:textId="77777777" w:rsidR="00BB4C34" w:rsidRDefault="00BB4C34" w:rsidP="00BB4C34">
      <w:pPr>
        <w:spacing w:after="63"/>
        <w:ind w:left="0" w:firstLine="0"/>
        <w:rPr>
          <w:szCs w:val="28"/>
        </w:rPr>
      </w:pPr>
      <w:r>
        <w:t xml:space="preserve">6.4. Ғолибга совринни бериш бўйича Банк мажбуриятлари уни иштирокчи берган ва Қабул қилиш-топшириш актини имзолаган пайтдан бошлаб бажарилган ҳисобланади. </w:t>
      </w:r>
    </w:p>
    <w:p w14:paraId="40210369" w14:textId="77777777" w:rsidR="00BB4C34" w:rsidRDefault="00BB4C34" w:rsidP="00BB4C34">
      <w:pPr>
        <w:spacing w:after="65"/>
        <w:ind w:left="0"/>
        <w:rPr>
          <w:szCs w:val="28"/>
        </w:rPr>
      </w:pPr>
      <w:r>
        <w:t xml:space="preserve">6.5. Совринга эгалик ҳуқуқи соврин берилган пайтдан бошлаб ғолибга ўтади. </w:t>
      </w:r>
    </w:p>
    <w:p w14:paraId="4D8CB1B4" w14:textId="28573DB0" w:rsidR="00BB4C34" w:rsidRDefault="00BB4C34" w:rsidP="00BB4C34">
      <w:pPr>
        <w:spacing w:after="0" w:line="240" w:lineRule="auto"/>
        <w:ind w:left="11" w:hanging="11"/>
        <w:rPr>
          <w:szCs w:val="28"/>
        </w:rPr>
      </w:pPr>
      <w:r>
        <w:t xml:space="preserve">6.6. Совринни топшириш жамоатчилик ва оммавий ахборот воситалари жалб қилинган ҳолда тантанали оммавий тадбир сифатида ташкил қилиниши мумкин. </w:t>
      </w:r>
    </w:p>
    <w:p w14:paraId="0A789361" w14:textId="77777777" w:rsidR="003A493C" w:rsidRDefault="003A493C" w:rsidP="00BB4C34">
      <w:pPr>
        <w:spacing w:after="0" w:line="240" w:lineRule="auto"/>
        <w:ind w:left="11" w:hanging="11"/>
        <w:rPr>
          <w:szCs w:val="28"/>
        </w:rPr>
      </w:pPr>
    </w:p>
    <w:p w14:paraId="3D0A7109" w14:textId="77777777" w:rsidR="00A50FCE" w:rsidRPr="004C2D8F" w:rsidRDefault="00873457" w:rsidP="004C2D8F">
      <w:pPr>
        <w:numPr>
          <w:ilvl w:val="0"/>
          <w:numId w:val="4"/>
        </w:numPr>
        <w:spacing w:after="0" w:line="240" w:lineRule="auto"/>
        <w:ind w:right="547" w:hanging="263"/>
        <w:jc w:val="center"/>
        <w:rPr>
          <w:szCs w:val="28"/>
        </w:rPr>
      </w:pPr>
      <w:r>
        <w:rPr>
          <w:b/>
          <w:szCs w:val="28"/>
        </w:rPr>
        <w:t>Акцияни ўтказиш шартлари, акция ўтказилишининг тўхтатилиш ёки муддатдан олдин тўхтатилиши ҳақида иштирокчиларга хабар бериш тартиби</w:t>
      </w:r>
    </w:p>
    <w:p w14:paraId="549F32C5" w14:textId="77777777" w:rsidR="004C2D8F" w:rsidRPr="00C80000" w:rsidRDefault="004C2D8F" w:rsidP="004C2D8F">
      <w:pPr>
        <w:spacing w:after="0" w:line="240" w:lineRule="auto"/>
        <w:ind w:left="689" w:right="547" w:firstLine="0"/>
        <w:rPr>
          <w:szCs w:val="28"/>
        </w:rPr>
      </w:pPr>
    </w:p>
    <w:p w14:paraId="465D70DA" w14:textId="3D7A28CF" w:rsidR="003A493C" w:rsidRDefault="003A493C" w:rsidP="003A493C">
      <w:pPr>
        <w:spacing w:after="56" w:line="276" w:lineRule="auto"/>
        <w:ind w:left="0"/>
        <w:rPr>
          <w:szCs w:val="28"/>
        </w:rPr>
      </w:pPr>
      <w:r>
        <w:t xml:space="preserve">7.1. Акцияни ўтказиш шартлари ва тартиби ҳақида иштирокчиларга хабар бериш Банк саҳифасида, ижтимоий тармоқларда, интернетда, ОАВда ва контекстли рекламада реклама эълонларини жойлаштириш орқали амалга оширилади. </w:t>
      </w:r>
    </w:p>
    <w:p w14:paraId="09BF2CCC" w14:textId="07570A9C" w:rsidR="003A493C" w:rsidRDefault="003A493C" w:rsidP="003A493C">
      <w:pPr>
        <w:spacing w:after="56" w:line="276" w:lineRule="auto"/>
        <w:ind w:left="0"/>
        <w:rPr>
          <w:szCs w:val="28"/>
        </w:rPr>
      </w:pPr>
      <w:r>
        <w:t xml:space="preserve">7.2. Ушбу акция, шунингдек Акция қоидалари ҳақида батафсил маълумот Банкнинг расмий корпоратив веб-сайти: </w:t>
      </w:r>
      <w:r>
        <w:rPr>
          <w:color w:val="0562C2"/>
          <w:szCs w:val="28"/>
        </w:rPr>
        <w:t>www.infinbank.com</w:t>
      </w:r>
      <w:hyperlink r:id="rId5" w:history="1"/>
      <w:r>
        <w:t xml:space="preserve"> да, “Акциялар” бўлимида жойлаштирилади. </w:t>
      </w:r>
    </w:p>
    <w:p w14:paraId="06263A2C" w14:textId="2FB4FC37" w:rsidR="003A493C" w:rsidRDefault="003A493C" w:rsidP="003A493C">
      <w:pPr>
        <w:spacing w:after="5" w:line="276" w:lineRule="auto"/>
        <w:ind w:left="0" w:hanging="9"/>
        <w:rPr>
          <w:szCs w:val="28"/>
        </w:rPr>
      </w:pPr>
      <w:r>
        <w:t>7.3. Акция ҳақида батафсил маълумотни Банк ишонч телефони орқали ҳам олиш мумкин: (+998 71) 202-50-60 ва қисқа рақам: 1214.</w:t>
      </w:r>
    </w:p>
    <w:p w14:paraId="039255F9" w14:textId="77777777" w:rsidR="003A493C" w:rsidRDefault="003A493C" w:rsidP="003A493C">
      <w:pPr>
        <w:spacing w:after="5" w:line="276" w:lineRule="auto"/>
        <w:ind w:left="0" w:hanging="9"/>
        <w:rPr>
          <w:szCs w:val="28"/>
        </w:rPr>
      </w:pPr>
      <w:r>
        <w:t xml:space="preserve">7.4. Акция ўтказилиши муддатидан олдин тўхтатилганда, унинг ўтказилиш муддатлари узайтирилганда ёки Қоидаларга ўзгаришлар киритилганда тегишли маълумот Банкнинг корпоратив расмий веб-сайти: </w:t>
      </w:r>
      <w:r>
        <w:rPr>
          <w:color w:val="0562C2"/>
          <w:szCs w:val="28"/>
        </w:rPr>
        <w:t>www.infinbank.com</w:t>
      </w:r>
      <w:hyperlink r:id="rId6" w:history="1"/>
      <w:r>
        <w:t xml:space="preserve"> да, “Акциялар” бўлимида жойлаштирилади. </w:t>
      </w:r>
    </w:p>
    <w:p w14:paraId="1FF8D679" w14:textId="77777777" w:rsidR="003A493C" w:rsidRDefault="003A493C" w:rsidP="003A493C">
      <w:pPr>
        <w:spacing w:after="5" w:line="276" w:lineRule="auto"/>
        <w:ind w:left="0" w:hanging="9"/>
        <w:rPr>
          <w:szCs w:val="28"/>
        </w:rPr>
      </w:pPr>
      <w:r>
        <w:t xml:space="preserve">7.5. Шахсий маълумотлар ҳақидаги қонунчилик талабларига мувофиқ, Иштирокчи Банкка унинг ҳар қандай шахсий маълумотидан Банк ўз фаолиятини юритиши, мазкур қоидаларнинг шартларини бажариши учун, шунингдек Ўзбекистон Республикаси қонунчилигига зид бўлмаган бошқа мақсадларда фойдаланишига ва бундай маълумотларга ишлов беришига муддатсиз розилик беради.  </w:t>
      </w:r>
    </w:p>
    <w:p w14:paraId="6E12C378" w14:textId="72CD3B00" w:rsidR="004B367F" w:rsidRDefault="004B367F" w:rsidP="003A493C">
      <w:pPr>
        <w:spacing w:after="56" w:line="276" w:lineRule="auto"/>
        <w:ind w:left="0"/>
      </w:pPr>
    </w:p>
    <w:sectPr w:rsidR="004B367F" w:rsidSect="005C2BED">
      <w:pgSz w:w="11906" w:h="16838"/>
      <w:pgMar w:top="1110" w:right="991" w:bottom="121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C91"/>
    <w:multiLevelType w:val="hybridMultilevel"/>
    <w:tmpl w:val="88D84C28"/>
    <w:lvl w:ilvl="0" w:tplc="32FC750C">
      <w:start w:val="7"/>
      <w:numFmt w:val="decimal"/>
      <w:lvlText w:val="%1."/>
      <w:lvlJc w:val="left"/>
      <w:pPr>
        <w:ind w:left="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3456B0">
      <w:start w:val="1"/>
      <w:numFmt w:val="lowerLetter"/>
      <w:lvlText w:val="%2"/>
      <w:lvlJc w:val="left"/>
      <w:pPr>
        <w:ind w:left="2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03C49C6">
      <w:start w:val="1"/>
      <w:numFmt w:val="lowerRoman"/>
      <w:lvlText w:val="%3"/>
      <w:lvlJc w:val="left"/>
      <w:pPr>
        <w:ind w:left="3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06A4718">
      <w:start w:val="1"/>
      <w:numFmt w:val="decimal"/>
      <w:lvlText w:val="%4"/>
      <w:lvlJc w:val="left"/>
      <w:pPr>
        <w:ind w:left="4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8D05030">
      <w:start w:val="1"/>
      <w:numFmt w:val="lowerLetter"/>
      <w:lvlText w:val="%5"/>
      <w:lvlJc w:val="left"/>
      <w:pPr>
        <w:ind w:left="4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CAD502">
      <w:start w:val="1"/>
      <w:numFmt w:val="lowerRoman"/>
      <w:lvlText w:val="%6"/>
      <w:lvlJc w:val="left"/>
      <w:pPr>
        <w:ind w:left="55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BB2645E">
      <w:start w:val="1"/>
      <w:numFmt w:val="decimal"/>
      <w:lvlText w:val="%7"/>
      <w:lvlJc w:val="left"/>
      <w:pPr>
        <w:ind w:left="6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08CB38">
      <w:start w:val="1"/>
      <w:numFmt w:val="lowerLetter"/>
      <w:lvlText w:val="%8"/>
      <w:lvlJc w:val="left"/>
      <w:pPr>
        <w:ind w:left="70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D90F558">
      <w:start w:val="1"/>
      <w:numFmt w:val="lowerRoman"/>
      <w:lvlText w:val="%9"/>
      <w:lvlJc w:val="left"/>
      <w:pPr>
        <w:ind w:left="77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E024412"/>
    <w:multiLevelType w:val="multilevel"/>
    <w:tmpl w:val="5B52E77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DAA5882"/>
    <w:multiLevelType w:val="multilevel"/>
    <w:tmpl w:val="697E788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2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D2961F9"/>
    <w:multiLevelType w:val="hybridMultilevel"/>
    <w:tmpl w:val="9FECCC64"/>
    <w:lvl w:ilvl="0" w:tplc="BB089106">
      <w:start w:val="1"/>
      <w:numFmt w:val="bullet"/>
      <w:lvlText w:val="-"/>
      <w:lvlJc w:val="left"/>
      <w:pPr>
        <w:ind w:left="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7A1F9C">
      <w:start w:val="1"/>
      <w:numFmt w:val="bullet"/>
      <w:lvlText w:val="o"/>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14A494">
      <w:start w:val="1"/>
      <w:numFmt w:val="bullet"/>
      <w:lvlText w:val="▪"/>
      <w:lvlJc w:val="left"/>
      <w:pPr>
        <w:ind w:left="2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8C99E">
      <w:start w:val="1"/>
      <w:numFmt w:val="bullet"/>
      <w:lvlText w:val="•"/>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49842">
      <w:start w:val="1"/>
      <w:numFmt w:val="bullet"/>
      <w:lvlText w:val="o"/>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0D3E4">
      <w:start w:val="1"/>
      <w:numFmt w:val="bullet"/>
      <w:lvlText w:val="▪"/>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21956">
      <w:start w:val="1"/>
      <w:numFmt w:val="bullet"/>
      <w:lvlText w:val="•"/>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8AE76">
      <w:start w:val="1"/>
      <w:numFmt w:val="bullet"/>
      <w:lvlText w:val="o"/>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78035C">
      <w:start w:val="1"/>
      <w:numFmt w:val="bullet"/>
      <w:lvlText w:val="▪"/>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801578964">
    <w:abstractNumId w:val="3"/>
  </w:num>
  <w:num w:numId="2" w16cid:durableId="1615867062">
    <w:abstractNumId w:val="1"/>
  </w:num>
  <w:num w:numId="3" w16cid:durableId="15349965">
    <w:abstractNumId w:val="2"/>
  </w:num>
  <w:num w:numId="4" w16cid:durableId="562566590">
    <w:abstractNumId w:val="0"/>
  </w:num>
  <w:num w:numId="5" w16cid:durableId="938682730">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4499681">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CE"/>
    <w:rsid w:val="00054AE7"/>
    <w:rsid w:val="00086A0B"/>
    <w:rsid w:val="0011618C"/>
    <w:rsid w:val="00151512"/>
    <w:rsid w:val="001754E3"/>
    <w:rsid w:val="00191B71"/>
    <w:rsid w:val="001B02D4"/>
    <w:rsid w:val="001C36A0"/>
    <w:rsid w:val="001E5905"/>
    <w:rsid w:val="00207839"/>
    <w:rsid w:val="00227C68"/>
    <w:rsid w:val="002976F3"/>
    <w:rsid w:val="002E6A0B"/>
    <w:rsid w:val="00345AA3"/>
    <w:rsid w:val="00385B82"/>
    <w:rsid w:val="00395030"/>
    <w:rsid w:val="003A493C"/>
    <w:rsid w:val="003B0C60"/>
    <w:rsid w:val="003C36A8"/>
    <w:rsid w:val="003F1A93"/>
    <w:rsid w:val="004248E9"/>
    <w:rsid w:val="00441B12"/>
    <w:rsid w:val="004B367F"/>
    <w:rsid w:val="004C2D8F"/>
    <w:rsid w:val="00561B31"/>
    <w:rsid w:val="005C2BED"/>
    <w:rsid w:val="005D5086"/>
    <w:rsid w:val="005D5F2C"/>
    <w:rsid w:val="005E505F"/>
    <w:rsid w:val="006341A8"/>
    <w:rsid w:val="00637564"/>
    <w:rsid w:val="006501BA"/>
    <w:rsid w:val="006643FF"/>
    <w:rsid w:val="006820E2"/>
    <w:rsid w:val="006C3DBE"/>
    <w:rsid w:val="006D6A1E"/>
    <w:rsid w:val="006E6734"/>
    <w:rsid w:val="007270EA"/>
    <w:rsid w:val="007E1B91"/>
    <w:rsid w:val="008068BA"/>
    <w:rsid w:val="00861578"/>
    <w:rsid w:val="00873457"/>
    <w:rsid w:val="00873ADD"/>
    <w:rsid w:val="00932681"/>
    <w:rsid w:val="009514EE"/>
    <w:rsid w:val="0098323D"/>
    <w:rsid w:val="009D7658"/>
    <w:rsid w:val="00A2051B"/>
    <w:rsid w:val="00A35BBE"/>
    <w:rsid w:val="00A50FCE"/>
    <w:rsid w:val="00AA29E9"/>
    <w:rsid w:val="00AC0EF9"/>
    <w:rsid w:val="00AD2E11"/>
    <w:rsid w:val="00AF09F5"/>
    <w:rsid w:val="00B27066"/>
    <w:rsid w:val="00B325CD"/>
    <w:rsid w:val="00BA4383"/>
    <w:rsid w:val="00BA59C9"/>
    <w:rsid w:val="00BB4C34"/>
    <w:rsid w:val="00BE396B"/>
    <w:rsid w:val="00C21DAE"/>
    <w:rsid w:val="00C72138"/>
    <w:rsid w:val="00C80000"/>
    <w:rsid w:val="00D61932"/>
    <w:rsid w:val="00D62732"/>
    <w:rsid w:val="00D714DA"/>
    <w:rsid w:val="00D83BC2"/>
    <w:rsid w:val="00DF7720"/>
    <w:rsid w:val="00E066A9"/>
    <w:rsid w:val="00E444AC"/>
    <w:rsid w:val="00E56EBA"/>
    <w:rsid w:val="00E77F65"/>
    <w:rsid w:val="00F12B81"/>
    <w:rsid w:val="00F54830"/>
    <w:rsid w:val="00FC368E"/>
    <w:rsid w:val="00FE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EC2"/>
  <w15:docId w15:val="{4A6BDEF5-254D-491A-8C86-69788818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z-Cyrl-U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152"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95"/>
      <w:ind w:left="149"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9514EE"/>
    <w:pPr>
      <w:ind w:left="720"/>
      <w:contextualSpacing/>
    </w:pPr>
  </w:style>
  <w:style w:type="character" w:styleId="Strong">
    <w:name w:val="Strong"/>
    <w:basedOn w:val="DefaultParagraphFont"/>
    <w:uiPriority w:val="22"/>
    <w:qFormat/>
    <w:rsid w:val="00AC0EF9"/>
    <w:rPr>
      <w:b/>
      <w:bCs/>
    </w:rPr>
  </w:style>
  <w:style w:type="character" w:styleId="CommentReference">
    <w:name w:val="annotation reference"/>
    <w:basedOn w:val="DefaultParagraphFont"/>
    <w:uiPriority w:val="99"/>
    <w:semiHidden/>
    <w:unhideWhenUsed/>
    <w:rsid w:val="003F1A93"/>
    <w:rPr>
      <w:sz w:val="16"/>
      <w:szCs w:val="16"/>
    </w:rPr>
  </w:style>
  <w:style w:type="paragraph" w:styleId="CommentText">
    <w:name w:val="annotation text"/>
    <w:basedOn w:val="Normal"/>
    <w:link w:val="CommentTextChar"/>
    <w:uiPriority w:val="99"/>
    <w:unhideWhenUsed/>
    <w:rsid w:val="003F1A93"/>
    <w:pPr>
      <w:spacing w:line="240" w:lineRule="auto"/>
    </w:pPr>
    <w:rPr>
      <w:sz w:val="20"/>
      <w:szCs w:val="20"/>
    </w:rPr>
  </w:style>
  <w:style w:type="character" w:customStyle="1" w:styleId="CommentTextChar">
    <w:name w:val="Comment Text Char"/>
    <w:basedOn w:val="DefaultParagraphFont"/>
    <w:link w:val="CommentText"/>
    <w:uiPriority w:val="99"/>
    <w:rsid w:val="003F1A9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F1A93"/>
    <w:rPr>
      <w:b/>
      <w:bCs/>
    </w:rPr>
  </w:style>
  <w:style w:type="character" w:customStyle="1" w:styleId="CommentSubjectChar">
    <w:name w:val="Comment Subject Char"/>
    <w:basedOn w:val="CommentTextChar"/>
    <w:link w:val="CommentSubject"/>
    <w:uiPriority w:val="99"/>
    <w:semiHidden/>
    <w:rsid w:val="003F1A9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C3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68E"/>
    <w:rPr>
      <w:rFonts w:ascii="Segoe UI" w:eastAsia="Times New Roman" w:hAnsi="Segoe UI" w:cs="Segoe UI"/>
      <w:color w:val="000000"/>
      <w:sz w:val="18"/>
      <w:szCs w:val="18"/>
    </w:rPr>
  </w:style>
  <w:style w:type="character" w:styleId="Hyperlink">
    <w:name w:val="Hyperlink"/>
    <w:basedOn w:val="DefaultParagraphFont"/>
    <w:uiPriority w:val="99"/>
    <w:semiHidden/>
    <w:unhideWhenUsed/>
    <w:rsid w:val="003A4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32660">
      <w:bodyDiv w:val="1"/>
      <w:marLeft w:val="0"/>
      <w:marRight w:val="0"/>
      <w:marTop w:val="0"/>
      <w:marBottom w:val="0"/>
      <w:divBdr>
        <w:top w:val="none" w:sz="0" w:space="0" w:color="auto"/>
        <w:left w:val="none" w:sz="0" w:space="0" w:color="auto"/>
        <w:bottom w:val="none" w:sz="0" w:space="0" w:color="auto"/>
        <w:right w:val="none" w:sz="0" w:space="0" w:color="auto"/>
      </w:divBdr>
    </w:div>
    <w:div w:id="939723619">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494688006">
      <w:bodyDiv w:val="1"/>
      <w:marLeft w:val="0"/>
      <w:marRight w:val="0"/>
      <w:marTop w:val="0"/>
      <w:marBottom w:val="0"/>
      <w:divBdr>
        <w:top w:val="none" w:sz="0" w:space="0" w:color="auto"/>
        <w:left w:val="none" w:sz="0" w:space="0" w:color="auto"/>
        <w:bottom w:val="none" w:sz="0" w:space="0" w:color="auto"/>
        <w:right w:val="none" w:sz="0" w:space="0" w:color="auto"/>
      </w:divBdr>
    </w:div>
    <w:div w:id="2049865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pitalbank.uz/ru/press_center/action/vyigrayte-poezdku-na-finalnyy-match-fifa-world-cup-2022-v-katare/" TargetMode="External"/><Relationship Id="rId5" Type="http://schemas.openxmlformats.org/officeDocument/2006/relationships/hyperlink" Target="https://kapitalbank.uz/ru/press_center/action/vyigrayte-poezdku-na-finalnyy-match-fifa-world-cup-2022-v-katar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Zaynutdinov</dc:creator>
  <cp:keywords/>
  <cp:lastModifiedBy>Mavlon Marasulov</cp:lastModifiedBy>
  <cp:revision>2</cp:revision>
  <cp:lastPrinted>2023-08-07T11:25:00Z</cp:lastPrinted>
  <dcterms:created xsi:type="dcterms:W3CDTF">2023-08-08T07:37:00Z</dcterms:created>
  <dcterms:modified xsi:type="dcterms:W3CDTF">2023-08-08T07:37:00Z</dcterms:modified>
</cp:coreProperties>
</file>